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Zastupitelstvo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Vedení organizačně technické agendy jednání zastupitelstva obce, pořizování zápisů z jednání zastupitelstva, vypracování usnesení a zajištění jeho rozeslání v souladu s jednacím řádem, zajištění výroby a zveřejňování pozvání na zastupitelstvo, soustředění materiálů pro jednání zastupitelstva a zajištění jejich distribuce.</w:t>
            </w:r>
          </w:p>
          <w:p>
            <w:pPr>
              <w:pStyle w:val="Normal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Zabezpečení organizačně technické agendy pro komise a výbory zastupitelstva obce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128/2000 Sb., - Z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ákon o obcích,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Zastupitelé , Dle charakteru dotazu zastupitele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eastAsia="cs-CZ"/>
              </w:rPr>
              <w:t>Jm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éno, příjmení, titul, datum narození, trvalé bydliště, předmět podkladu pro jednání RM/ ZM,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zastupiteli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101  Činnost zastupitelstva, rady, výborů a komisí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101.1  Podkladové materiály k jednání (nejsou-li součástí zápisu)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101.1.1  Podkladové materiály k jednání zastupitelstva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101.1.2  Podkladové materiály k jednání rady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101.1.3  Podkladové materiály k jednání výborů a komisí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101.2  Zápisy z jednání včetně programu, usnesení, příloh a podkladů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101.2.1  Zápisy z jednání zastupitelstva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101.2.2  Zápisy z jednání rady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101.2.3  Zápisy z jednání výborů a komisí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101.2.4  Zápisy z jednání včetně programu, usnesení, příloh a podkladů: zvláštních orgánů obce  </w:t>
            </w:r>
          </w:p>
          <w:p>
            <w:pPr>
              <w:pStyle w:val="Normal"/>
              <w:bidi w:val="0"/>
              <w:spacing w:lineRule="auto" w:line="240" w:before="60" w:after="6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101.3  Evidence členů zastupitelstva, rady, výborů a komisí A5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Písemné vyhotovení ve spisu – uzamykatelná skříň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Word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Mohou být datové nosiče nebo písemná podoba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259</Words>
  <Characters>1628</Characters>
  <CharactersWithSpaces>1880</CharactersWithSpaces>
  <Paragraphs>30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2018-05-27T20:47:57Z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